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6" w:rsidRDefault="00103FD6" w:rsidP="00E709C4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7pt;margin-top:-56.3pt;width:594pt;height:102.8pt;z-index:251658240">
            <v:imagedata r:id="rId8" o:title=""/>
            <w10:wrap type="square"/>
          </v:shape>
        </w:pict>
      </w:r>
    </w:p>
    <w:p w:rsidR="00854CC4" w:rsidRPr="00103FD6" w:rsidRDefault="00103FD6" w:rsidP="00E709C4">
      <w:pPr>
        <w:rPr>
          <w:b/>
          <w:sz w:val="28"/>
        </w:rPr>
      </w:pPr>
      <w:r w:rsidRPr="00103FD6">
        <w:rPr>
          <w:b/>
          <w:sz w:val="28"/>
        </w:rPr>
        <w:t>Таблица для заполнения данных по номинантам Премии «Полимеры России 2014». Лонг-лист</w:t>
      </w:r>
    </w:p>
    <w:tbl>
      <w:tblPr>
        <w:tblW w:w="108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5211"/>
        <w:gridCol w:w="5648"/>
      </w:tblGrid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Название компании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Адрес регистрации юр лица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Производственные площадки: город, регион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Официальные дистрибьюторы, представительства: количество, города, страны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Виды продукции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Назначение продукции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Рынок, на котором представлена продукция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Оценка доли компании в данном сегменте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Производственные мощности (тоннаж/год)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>Данные на ноябрь 2014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Объем производства в год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>Данные по 2013 году, прогноз 2014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Количество сотрудников (производство, управляющая компания, коммерческая структура)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Выработка на 1 работающего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Динамика производства 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>за период 2011 - 2014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Расширение номенклатуры продукции 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за период </w:t>
            </w:r>
            <w:proofErr w:type="spellStart"/>
            <w:proofErr w:type="gramStart"/>
            <w:r w:rsidRPr="00244011">
              <w:t>окт</w:t>
            </w:r>
            <w:proofErr w:type="spellEnd"/>
            <w:proofErr w:type="gramEnd"/>
            <w:r w:rsidRPr="00244011">
              <w:t xml:space="preserve"> 2013 – ноя 2014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Наличие собственной лаборатории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Уровень инвестиций в </w:t>
            </w:r>
            <w:r w:rsidRPr="00244011">
              <w:rPr>
                <w:lang w:val="en-US"/>
              </w:rPr>
              <w:t>R</w:t>
            </w:r>
            <w:r w:rsidRPr="00244011">
              <w:t>&amp;</w:t>
            </w:r>
            <w:r w:rsidRPr="00244011">
              <w:rPr>
                <w:lang w:val="en-US"/>
              </w:rPr>
              <w:t>D</w:t>
            </w:r>
            <w:r w:rsidRPr="00244011">
              <w:t xml:space="preserve"> (% от выручки)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Запуск новой линии/ нового завода и </w:t>
            </w:r>
            <w:proofErr w:type="spellStart"/>
            <w:r w:rsidRPr="00244011">
              <w:t>тп</w:t>
            </w:r>
            <w:proofErr w:type="spellEnd"/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за период </w:t>
            </w:r>
            <w:proofErr w:type="spellStart"/>
            <w:proofErr w:type="gramStart"/>
            <w:r w:rsidRPr="00244011">
              <w:t>окт</w:t>
            </w:r>
            <w:proofErr w:type="spellEnd"/>
            <w:proofErr w:type="gramEnd"/>
            <w:r w:rsidRPr="00244011">
              <w:t xml:space="preserve"> 2013 – ноя 2014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Успешное слияние/поглощение (</w:t>
            </w:r>
            <w:r w:rsidRPr="00244011">
              <w:rPr>
                <w:lang w:val="en-US"/>
              </w:rPr>
              <w:t>M</w:t>
            </w:r>
            <w:r w:rsidRPr="00244011">
              <w:t>&amp;</w:t>
            </w:r>
            <w:r w:rsidRPr="00244011">
              <w:rPr>
                <w:lang w:val="en-US"/>
              </w:rPr>
              <w:t>A</w:t>
            </w:r>
            <w:r w:rsidRPr="00244011">
              <w:t>)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Запуск дополнительных </w:t>
            </w:r>
            <w:r w:rsidRPr="00244011">
              <w:rPr>
                <w:lang w:val="en-US"/>
              </w:rPr>
              <w:t>back</w:t>
            </w:r>
            <w:r w:rsidRPr="00244011">
              <w:t xml:space="preserve"> </w:t>
            </w:r>
            <w:r w:rsidRPr="00244011">
              <w:rPr>
                <w:lang w:val="en-US"/>
              </w:rPr>
              <w:t>up</w:t>
            </w:r>
            <w:r w:rsidRPr="00244011">
              <w:t xml:space="preserve"> мощностей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Модернизация текущих мощностей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за период </w:t>
            </w:r>
            <w:proofErr w:type="spellStart"/>
            <w:proofErr w:type="gramStart"/>
            <w:r w:rsidRPr="00244011">
              <w:t>окт</w:t>
            </w:r>
            <w:proofErr w:type="spellEnd"/>
            <w:proofErr w:type="gramEnd"/>
            <w:r w:rsidRPr="00244011">
              <w:t xml:space="preserve"> 2013 – ноя 2014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Экологический проект</w:t>
            </w:r>
            <w:r w:rsidRPr="00244011">
              <w:rPr>
                <w:lang w:val="en-US"/>
              </w:rPr>
              <w:t>, recycling</w:t>
            </w:r>
            <w:r w:rsidRPr="00244011">
              <w:t xml:space="preserve">, </w:t>
            </w:r>
            <w:proofErr w:type="spellStart"/>
            <w:r w:rsidRPr="00244011">
              <w:t>тп</w:t>
            </w:r>
            <w:proofErr w:type="spellEnd"/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Проект </w:t>
            </w:r>
            <w:proofErr w:type="spellStart"/>
            <w:r w:rsidRPr="00244011">
              <w:t>энергоэффективности</w:t>
            </w:r>
            <w:proofErr w:type="spellEnd"/>
            <w:r w:rsidRPr="00244011">
              <w:t xml:space="preserve"> производства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bookmarkStart w:id="0" w:name="_GoBack"/>
            <w:bookmarkEnd w:id="0"/>
            <w:r w:rsidRPr="00244011">
              <w:t>Экспорт продукции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proofErr w:type="spellStart"/>
            <w:r w:rsidRPr="00244011">
              <w:t>Импортозамещение</w:t>
            </w:r>
            <w:proofErr w:type="spellEnd"/>
            <w:r w:rsidRPr="00244011">
              <w:t xml:space="preserve"> 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и </w:t>
            </w:r>
            <w:proofErr w:type="spellStart"/>
            <w:r w:rsidRPr="00244011">
              <w:t>конкурентоустойчивость</w:t>
            </w:r>
            <w:proofErr w:type="spellEnd"/>
            <w:r w:rsidRPr="00244011">
              <w:t xml:space="preserve"> к импорту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Регионы, в которые идет экспорт,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lastRenderedPageBreak/>
              <w:t>Процент от объема производства,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Когда начали экспортировать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lastRenderedPageBreak/>
              <w:t xml:space="preserve"> Успешный запуск нового продукта на замену </w:t>
            </w:r>
            <w:r w:rsidRPr="00244011">
              <w:rPr>
                <w:color w:val="A6A6A6"/>
              </w:rPr>
              <w:lastRenderedPageBreak/>
              <w:t xml:space="preserve">импортному аналогу (период с </w:t>
            </w:r>
            <w:proofErr w:type="spellStart"/>
            <w:proofErr w:type="gramStart"/>
            <w:r w:rsidRPr="00244011">
              <w:rPr>
                <w:color w:val="A6A6A6"/>
              </w:rPr>
              <w:t>окт</w:t>
            </w:r>
            <w:proofErr w:type="spellEnd"/>
            <w:proofErr w:type="gramEnd"/>
            <w:r w:rsidRPr="00244011">
              <w:rPr>
                <w:color w:val="A6A6A6"/>
              </w:rPr>
              <w:t xml:space="preserve"> 2013)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Замещение импортного материала у крупного промышленного потребителя (назвать потребителя, период перехода на ваш продукт – с какого года/месяца, назвать какой импортный продукт потребитель использовал ранее)</w:t>
            </w: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lastRenderedPageBreak/>
              <w:t>Замещение традиционных материалов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proofErr w:type="spellStart"/>
            <w:r w:rsidRPr="00244011">
              <w:t>Инновационность</w:t>
            </w:r>
            <w:proofErr w:type="spellEnd"/>
            <w:r w:rsidRPr="00244011">
              <w:t xml:space="preserve"> продукции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 xml:space="preserve">Замещение традиционных </w:t>
            </w:r>
            <w:proofErr w:type="spellStart"/>
            <w:r w:rsidRPr="00244011">
              <w:rPr>
                <w:color w:val="A6A6A6"/>
              </w:rPr>
              <w:t>неполимерных</w:t>
            </w:r>
            <w:proofErr w:type="spellEnd"/>
            <w:r w:rsidRPr="00244011">
              <w:rPr>
                <w:color w:val="A6A6A6"/>
              </w:rPr>
              <w:t xml:space="preserve"> материалов на полимерные или материалы с большей долей полимеров: </w:t>
            </w:r>
          </w:p>
          <w:p w:rsidR="00854CC4" w:rsidRPr="00244011" w:rsidRDefault="00854CC4" w:rsidP="003F49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 xml:space="preserve">представить примеры перехода клиентов на ваш продукт за период </w:t>
            </w:r>
            <w:proofErr w:type="spellStart"/>
            <w:proofErr w:type="gramStart"/>
            <w:r w:rsidRPr="00244011">
              <w:rPr>
                <w:color w:val="A6A6A6"/>
              </w:rPr>
              <w:t>окт</w:t>
            </w:r>
            <w:proofErr w:type="spellEnd"/>
            <w:proofErr w:type="gramEnd"/>
            <w:r w:rsidRPr="00244011">
              <w:rPr>
                <w:color w:val="A6A6A6"/>
              </w:rPr>
              <w:t xml:space="preserve"> 2013 – 2014 с традиционных материалов или материалов с меньшей долей полимеров, или</w:t>
            </w:r>
          </w:p>
          <w:p w:rsidR="00854CC4" w:rsidRPr="00244011" w:rsidRDefault="00854CC4" w:rsidP="003F49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A6A6A6"/>
              </w:rPr>
            </w:pPr>
            <w:proofErr w:type="gramStart"/>
            <w:r w:rsidRPr="00244011">
              <w:rPr>
                <w:color w:val="A6A6A6"/>
              </w:rPr>
              <w:t>дать оценку распределения долей внутри сегмента с учетом потребления традиционных материалов, показать динамику перехода с традиционных на полимерные за два-три года, обосновать вклад вашей компании в данный переход</w:t>
            </w:r>
            <w:proofErr w:type="gramEnd"/>
          </w:p>
          <w:p w:rsidR="00854CC4" w:rsidRPr="00244011" w:rsidRDefault="00854CC4" w:rsidP="003F499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представить данные по эффективности перехода с традиционных материалов на ваш продукт (в цифрах или технических характеристиках)</w:t>
            </w: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Развитие нового сегмента/ способа потребления с ростом продаж выше рынка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Риск или кризис менеджмент,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>антикризисная устойчивость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 xml:space="preserve">Динамика производственных и </w:t>
            </w:r>
            <w:proofErr w:type="spellStart"/>
            <w:r w:rsidRPr="00244011">
              <w:rPr>
                <w:color w:val="A6A6A6"/>
              </w:rPr>
              <w:t>фин</w:t>
            </w:r>
            <w:proofErr w:type="gramStart"/>
            <w:r w:rsidRPr="00244011">
              <w:rPr>
                <w:color w:val="A6A6A6"/>
              </w:rPr>
              <w:t>.п</w:t>
            </w:r>
            <w:proofErr w:type="gramEnd"/>
            <w:r w:rsidRPr="00244011">
              <w:rPr>
                <w:color w:val="A6A6A6"/>
              </w:rPr>
              <w:t>оказателей</w:t>
            </w:r>
            <w:proofErr w:type="spellEnd"/>
            <w:r w:rsidRPr="00244011">
              <w:rPr>
                <w:color w:val="A6A6A6"/>
              </w:rPr>
              <w:t xml:space="preserve"> за период 2007-2009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 xml:space="preserve">Наличие департамента </w:t>
            </w:r>
            <w:proofErr w:type="gramStart"/>
            <w:r w:rsidRPr="00244011">
              <w:rPr>
                <w:color w:val="A6A6A6"/>
              </w:rPr>
              <w:t>риск-менеджмента</w:t>
            </w:r>
            <w:proofErr w:type="gramEnd"/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rPr>
                <w:color w:val="A6A6A6"/>
              </w:rPr>
              <w:t>Иные краткие данные</w:t>
            </w: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Уровень долговой нагрузки к финансовому обороту компании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Успешное привлечение дополнительного финансирования за период 2013-2014 года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Портфель заказчиков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Портфель поставщиков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Количество прямых заказчиков,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Распределение заказчиков по сферам,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сбалансированность портфеля заказчиков,</w:t>
            </w:r>
          </w:p>
          <w:p w:rsidR="00854CC4" w:rsidRPr="00244011" w:rsidRDefault="00854CC4" w:rsidP="003F4995">
            <w:pPr>
              <w:spacing w:after="0" w:line="240" w:lineRule="auto"/>
              <w:rPr>
                <w:color w:val="A6A6A6"/>
              </w:rPr>
            </w:pPr>
            <w:r w:rsidRPr="00244011">
              <w:rPr>
                <w:color w:val="A6A6A6"/>
              </w:rPr>
              <w:t>уровень взаимодействия с потребителями</w:t>
            </w: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Количество поставщиков-производителей, с которыми компания работает напрямую</w:t>
            </w: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  <w:rPr>
                <w:lang w:val="en-US"/>
              </w:rPr>
            </w:pPr>
            <w:r w:rsidRPr="00244011">
              <w:t>Корпоративная культура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Программы мотивации, наличие системы </w:t>
            </w:r>
            <w:r w:rsidRPr="00244011">
              <w:rPr>
                <w:lang w:val="en-US"/>
              </w:rPr>
              <w:t>KPI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Финансирование институтов/мероприятий отрасли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Вовлеченность в публичное развитие сегмента/отрасли,</w:t>
            </w:r>
          </w:p>
          <w:p w:rsidR="00854CC4" w:rsidRPr="00244011" w:rsidRDefault="00854CC4" w:rsidP="003F4995">
            <w:pPr>
              <w:spacing w:after="0" w:line="240" w:lineRule="auto"/>
            </w:pPr>
            <w:r w:rsidRPr="00244011">
              <w:t>Внешнее признание компании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  <w:p w:rsidR="00854CC4" w:rsidRPr="00244011" w:rsidRDefault="00854CC4" w:rsidP="003F4995">
            <w:pPr>
              <w:spacing w:after="0" w:line="240" w:lineRule="auto"/>
            </w:pPr>
          </w:p>
        </w:tc>
      </w:tr>
      <w:tr w:rsidR="00854CC4" w:rsidRPr="00244011" w:rsidTr="003F4995">
        <w:tc>
          <w:tcPr>
            <w:tcW w:w="5211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>Проект/программа социальной значимости</w:t>
            </w:r>
          </w:p>
        </w:tc>
        <w:tc>
          <w:tcPr>
            <w:tcW w:w="5648" w:type="dxa"/>
            <w:shd w:val="clear" w:color="auto" w:fill="D3DFEE"/>
          </w:tcPr>
          <w:p w:rsidR="00854CC4" w:rsidRPr="00244011" w:rsidRDefault="00854CC4" w:rsidP="003F4995">
            <w:pPr>
              <w:spacing w:after="0" w:line="240" w:lineRule="auto"/>
            </w:pPr>
            <w:r w:rsidRPr="00244011">
              <w:t xml:space="preserve">Структура акционеров, </w:t>
            </w:r>
          </w:p>
          <w:p w:rsidR="00854CC4" w:rsidRPr="00244011" w:rsidRDefault="00854CC4" w:rsidP="003F4995">
            <w:pPr>
              <w:spacing w:after="0" w:line="240" w:lineRule="auto"/>
            </w:pPr>
            <w:proofErr w:type="spellStart"/>
            <w:r w:rsidRPr="00244011">
              <w:t>афиллированные</w:t>
            </w:r>
            <w:proofErr w:type="spellEnd"/>
            <w:r w:rsidRPr="00244011">
              <w:t xml:space="preserve"> структуры</w:t>
            </w:r>
          </w:p>
        </w:tc>
      </w:tr>
      <w:tr w:rsidR="00854CC4" w:rsidRPr="00244011" w:rsidTr="003F4995">
        <w:tc>
          <w:tcPr>
            <w:tcW w:w="5211" w:type="dxa"/>
          </w:tcPr>
          <w:p w:rsidR="00854CC4" w:rsidRPr="00244011" w:rsidRDefault="00854CC4" w:rsidP="003F4995">
            <w:pPr>
              <w:spacing w:after="0" w:line="240" w:lineRule="auto"/>
              <w:rPr>
                <w:lang w:val="en-US"/>
              </w:rPr>
            </w:pPr>
          </w:p>
          <w:p w:rsidR="00854CC4" w:rsidRPr="00244011" w:rsidRDefault="00854CC4" w:rsidP="003F49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48" w:type="dxa"/>
          </w:tcPr>
          <w:p w:rsidR="00854CC4" w:rsidRPr="00244011" w:rsidRDefault="00854CC4" w:rsidP="003F4995">
            <w:pPr>
              <w:spacing w:after="0" w:line="240" w:lineRule="auto"/>
            </w:pPr>
          </w:p>
        </w:tc>
      </w:tr>
    </w:tbl>
    <w:p w:rsidR="00854CC4" w:rsidRPr="00A8296B" w:rsidRDefault="00854CC4" w:rsidP="00E709C4">
      <w:pPr>
        <w:rPr>
          <w:lang w:val="en-US"/>
        </w:rPr>
      </w:pPr>
    </w:p>
    <w:sectPr w:rsidR="00854CC4" w:rsidRPr="00A8296B" w:rsidSect="00A8296B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C4" w:rsidRDefault="00854CC4">
      <w:r>
        <w:separator/>
      </w:r>
    </w:p>
  </w:endnote>
  <w:endnote w:type="continuationSeparator" w:id="0">
    <w:p w:rsidR="00854CC4" w:rsidRDefault="0085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C4" w:rsidRDefault="00854CC4">
      <w:r>
        <w:separator/>
      </w:r>
    </w:p>
  </w:footnote>
  <w:footnote w:type="continuationSeparator" w:id="0">
    <w:p w:rsidR="00854CC4" w:rsidRDefault="0085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A0F"/>
    <w:multiLevelType w:val="hybridMultilevel"/>
    <w:tmpl w:val="EDEE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342C"/>
    <w:multiLevelType w:val="hybridMultilevel"/>
    <w:tmpl w:val="6A62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494"/>
    <w:rsid w:val="000071AC"/>
    <w:rsid w:val="00103FD6"/>
    <w:rsid w:val="00174F70"/>
    <w:rsid w:val="0019297F"/>
    <w:rsid w:val="00244011"/>
    <w:rsid w:val="002A5ABA"/>
    <w:rsid w:val="002F52D1"/>
    <w:rsid w:val="002F6CEA"/>
    <w:rsid w:val="003F4995"/>
    <w:rsid w:val="00490141"/>
    <w:rsid w:val="004E2B5D"/>
    <w:rsid w:val="00561212"/>
    <w:rsid w:val="005C238E"/>
    <w:rsid w:val="007A10E5"/>
    <w:rsid w:val="007A2800"/>
    <w:rsid w:val="007A3D13"/>
    <w:rsid w:val="00854CC4"/>
    <w:rsid w:val="00954137"/>
    <w:rsid w:val="00971494"/>
    <w:rsid w:val="009D5AD6"/>
    <w:rsid w:val="00A309EC"/>
    <w:rsid w:val="00A775F5"/>
    <w:rsid w:val="00A8296B"/>
    <w:rsid w:val="00A96E0B"/>
    <w:rsid w:val="00BC322A"/>
    <w:rsid w:val="00BC76F8"/>
    <w:rsid w:val="00C34657"/>
    <w:rsid w:val="00CE6D9C"/>
    <w:rsid w:val="00D951B9"/>
    <w:rsid w:val="00DD1599"/>
    <w:rsid w:val="00E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1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971494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Grid Accent 1"/>
    <w:basedOn w:val="a1"/>
    <w:uiPriority w:val="99"/>
    <w:rsid w:val="009714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">
    <w:name w:val="Medium Shading 1"/>
    <w:basedOn w:val="a1"/>
    <w:uiPriority w:val="99"/>
    <w:rsid w:val="009714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99"/>
    <w:rsid w:val="0097149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4">
    <w:name w:val="List Paragraph"/>
    <w:basedOn w:val="a"/>
    <w:uiPriority w:val="99"/>
    <w:qFormat/>
    <w:rsid w:val="00174F70"/>
    <w:pPr>
      <w:ind w:left="720"/>
      <w:contextualSpacing/>
    </w:pPr>
  </w:style>
  <w:style w:type="paragraph" w:styleId="a5">
    <w:name w:val="header"/>
    <w:basedOn w:val="a"/>
    <w:link w:val="a6"/>
    <w:uiPriority w:val="99"/>
    <w:rsid w:val="00192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192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N. Dautova</dc:creator>
  <cp:keywords/>
  <dc:description/>
  <cp:lastModifiedBy>Anna N. Dautova</cp:lastModifiedBy>
  <cp:revision>8</cp:revision>
  <cp:lastPrinted>2014-10-09T10:08:00Z</cp:lastPrinted>
  <dcterms:created xsi:type="dcterms:W3CDTF">2014-10-09T09:33:00Z</dcterms:created>
  <dcterms:modified xsi:type="dcterms:W3CDTF">2014-10-09T13:25:00Z</dcterms:modified>
</cp:coreProperties>
</file>